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947"/>
        <w:gridCol w:w="947"/>
        <w:gridCol w:w="848"/>
        <w:gridCol w:w="3803"/>
      </w:tblGrid>
      <w:tr w:rsidR="00F77E40" w:rsidRPr="00F77E40" w:rsidTr="00181153">
        <w:trPr>
          <w:tblHeader/>
        </w:trPr>
        <w:tc>
          <w:tcPr>
            <w:tcW w:w="3042" w:type="dxa"/>
            <w:gridSpan w:val="3"/>
            <w:shd w:val="clear" w:color="auto" w:fill="E0E0E0"/>
            <w:vAlign w:val="center"/>
          </w:tcPr>
          <w:p w:rsidR="00604466" w:rsidRPr="00F77E40" w:rsidRDefault="004739C7" w:rsidP="00A80501">
            <w:pPr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bookmarkStart w:id="0" w:name="_GoBack"/>
            <w:bookmarkEnd w:id="0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業務別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/ </w:t>
            </w:r>
            <w:r w:rsidR="00604466" w:rsidRPr="00F77E40">
              <w:rPr>
                <w:rFonts w:ascii="Arial" w:eastAsia="標楷體" w:hAnsi="標楷體" w:cs="Arial"/>
                <w:sz w:val="14"/>
                <w:szCs w:val="14"/>
              </w:rPr>
              <w:t>業務項目</w:t>
            </w:r>
          </w:p>
        </w:tc>
        <w:tc>
          <w:tcPr>
            <w:tcW w:w="848" w:type="dxa"/>
            <w:shd w:val="clear" w:color="auto" w:fill="E0E0E0"/>
          </w:tcPr>
          <w:p w:rsidR="00604466" w:rsidRPr="00F77E40" w:rsidRDefault="00604466" w:rsidP="00A80501">
            <w:pPr>
              <w:ind w:leftChars="-45" w:left="-108" w:rightChars="-45" w:right="-108"/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收費項目</w:t>
            </w:r>
          </w:p>
        </w:tc>
        <w:tc>
          <w:tcPr>
            <w:tcW w:w="3803" w:type="dxa"/>
            <w:shd w:val="clear" w:color="auto" w:fill="E0E0E0"/>
            <w:vAlign w:val="center"/>
          </w:tcPr>
          <w:p w:rsidR="00604466" w:rsidRPr="00F77E40" w:rsidRDefault="00604466" w:rsidP="00A80501">
            <w:pPr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計收標準</w:t>
            </w:r>
          </w:p>
        </w:tc>
      </w:tr>
      <w:tr w:rsidR="00F77E40" w:rsidRPr="00F77E40" w:rsidTr="0001551C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01551C" w:rsidRPr="00F77E40" w:rsidRDefault="0001551C" w:rsidP="0001551C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存款業務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04466" w:rsidRPr="00F77E40" w:rsidRDefault="00604466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存入</w:t>
            </w:r>
            <w:r w:rsidR="00FF1D87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FF1D87" w:rsidRPr="00F77E40">
              <w:rPr>
                <w:rFonts w:ascii="Arial" w:eastAsia="標楷體" w:hAnsi="標楷體" w:cs="Arial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現鈔</w:t>
            </w:r>
          </w:p>
        </w:tc>
        <w:tc>
          <w:tcPr>
            <w:tcW w:w="1894" w:type="dxa"/>
            <w:gridSpan w:val="2"/>
            <w:vAlign w:val="center"/>
          </w:tcPr>
          <w:p w:rsidR="00604466" w:rsidRPr="00F77E40" w:rsidRDefault="00604466" w:rsidP="00613A18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美金現鈔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&lt;</w:t>
            </w:r>
            <w:r w:rsidR="00613A18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604466" w:rsidRPr="00F77E40" w:rsidRDefault="00604466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04466" w:rsidRPr="00F77E40" w:rsidRDefault="00604466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04466" w:rsidRPr="00F77E40" w:rsidRDefault="00604466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04466" w:rsidRPr="00F77E40" w:rsidRDefault="00604466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美金現鈔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≧</w:t>
            </w:r>
            <w:r w:rsidR="00F812C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="00F812C9"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604466" w:rsidRPr="00F77E40" w:rsidRDefault="00604466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04466" w:rsidRPr="00F77E40" w:rsidRDefault="00604466" w:rsidP="001140D2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D51575" w:rsidRPr="00F77E40">
              <w:rPr>
                <w:rFonts w:ascii="Arial" w:eastAsia="標楷體" w:hAnsi="標楷體" w:cs="Arial"/>
                <w:sz w:val="14"/>
                <w:szCs w:val="14"/>
              </w:rPr>
              <w:t>提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金額之</w:t>
            </w:r>
            <w:r w:rsidR="00F812C9" w:rsidRPr="00F77E40">
              <w:rPr>
                <w:rFonts w:ascii="Arial" w:eastAsia="標楷體" w:hAnsi="標楷體" w:cs="Arial"/>
                <w:sz w:val="14"/>
                <w:szCs w:val="14"/>
              </w:rPr>
              <w:t>0.</w:t>
            </w:r>
            <w:r w:rsidR="001140D2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A405D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405D0" w:rsidRPr="00F77E40" w:rsidRDefault="00A405D0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港幣現鈔</w:t>
            </w:r>
            <w:r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&lt;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100,000</w:t>
            </w:r>
          </w:p>
        </w:tc>
        <w:tc>
          <w:tcPr>
            <w:tcW w:w="848" w:type="dxa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手續費</w:t>
            </w:r>
          </w:p>
        </w:tc>
        <w:tc>
          <w:tcPr>
            <w:tcW w:w="3803" w:type="dxa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免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收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FF1D87" w:rsidRPr="00F77E40" w:rsidRDefault="00FF1D87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FF1D87" w:rsidRPr="00F77E40" w:rsidRDefault="00FF1D87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港幣現鈔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≧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100,000</w:t>
            </w:r>
          </w:p>
        </w:tc>
        <w:tc>
          <w:tcPr>
            <w:tcW w:w="848" w:type="dxa"/>
            <w:vAlign w:val="center"/>
          </w:tcPr>
          <w:p w:rsidR="00FF1D87" w:rsidRPr="00F77E40" w:rsidRDefault="00FF1D87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FF1D87" w:rsidRPr="00F77E40" w:rsidRDefault="00FF1D87" w:rsidP="00F812C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之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0.</w:t>
            </w:r>
            <w:r w:rsidR="00F812C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A405D0" w:rsidRPr="00F77E40" w:rsidTr="00A405D0">
        <w:trPr>
          <w:trHeight w:hRule="exact" w:val="204"/>
        </w:trPr>
        <w:tc>
          <w:tcPr>
            <w:tcW w:w="1148" w:type="dxa"/>
            <w:vMerge/>
            <w:vAlign w:val="center"/>
          </w:tcPr>
          <w:p w:rsidR="00A405D0" w:rsidRPr="00F77E40" w:rsidRDefault="00A405D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405D0" w:rsidRPr="00A405D0" w:rsidRDefault="00A405D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人民幣現鈔</w:t>
            </w:r>
            <w:r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&lt;5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,000</w:t>
            </w:r>
          </w:p>
        </w:tc>
        <w:tc>
          <w:tcPr>
            <w:tcW w:w="848" w:type="dxa"/>
            <w:vAlign w:val="center"/>
          </w:tcPr>
          <w:p w:rsidR="00A405D0" w:rsidRPr="00A405D0" w:rsidRDefault="00A405D0" w:rsidP="00A405D0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手續費</w:t>
            </w:r>
          </w:p>
        </w:tc>
        <w:tc>
          <w:tcPr>
            <w:tcW w:w="3803" w:type="dxa"/>
            <w:vAlign w:val="center"/>
          </w:tcPr>
          <w:p w:rsidR="00A405D0" w:rsidRPr="00F77E40" w:rsidRDefault="00FA012F" w:rsidP="00FA012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A012F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每筆</w:t>
            </w:r>
            <w:r w:rsidRPr="00FA012F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CNY</w:t>
            </w:r>
            <w:r w:rsidR="00A405D0" w:rsidRPr="00F77E40">
              <w:rPr>
                <w:rFonts w:ascii="Arial" w:eastAsia="標楷體" w:hAnsi="標楷體" w:cs="Arial" w:hint="eastAsia"/>
                <w:sz w:val="14"/>
                <w:szCs w:val="14"/>
              </w:rPr>
              <w:t>25</w:t>
            </w:r>
          </w:p>
        </w:tc>
      </w:tr>
      <w:tr w:rsidR="00F77E40" w:rsidRPr="00F77E40" w:rsidTr="00A405D0">
        <w:trPr>
          <w:trHeight w:hRule="exact" w:val="27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人民幣現鈔</w:t>
            </w:r>
            <w:r w:rsidR="00A405D0"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≧</w:t>
            </w:r>
            <w:r w:rsidR="00773D0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0C72E4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0C72E4" w:rsidRPr="00F77E40">
              <w:rPr>
                <w:rFonts w:ascii="Arial" w:eastAsia="標楷體" w:hAnsi="標楷體" w:cs="Arial" w:hint="eastAsia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金額之</w:t>
            </w:r>
            <w:r w:rsidR="00773D09" w:rsidRPr="00F77E40">
              <w:rPr>
                <w:rFonts w:ascii="Arial" w:eastAsia="標楷體" w:hAnsi="標楷體" w:cs="Arial"/>
                <w:sz w:val="14"/>
                <w:szCs w:val="14"/>
              </w:rPr>
              <w:t>0.</w:t>
            </w:r>
            <w:r w:rsidR="001140D2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="00A405D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人民幣現鈔兌換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1C440B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每次收費</w:t>
            </w:r>
            <w:r w:rsidR="001C440B" w:rsidRPr="001C440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CNY</w:t>
            </w:r>
            <w:r w:rsidR="00773D0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106DA0" w:rsidRPr="00F77E40" w:rsidRDefault="00106DA0" w:rsidP="00E40B57">
            <w:pPr>
              <w:adjustRightInd w:val="0"/>
              <w:snapToGrid w:val="0"/>
              <w:spacing w:line="0" w:lineRule="atLeast"/>
              <w:jc w:val="both"/>
              <w:rPr>
                <w:rStyle w:val="a3"/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支票存款</w:t>
            </w: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止付支票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因存款不足而退票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因客戶技術性錯誤而退票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抽票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提出交換票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人民幣支票存款退票</w:t>
            </w: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因帳戶存款餘額不足者，每張支票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F77E40" w:rsidRPr="00F77E40" w:rsidTr="00A405D0">
        <w:trPr>
          <w:trHeight w:hRule="exact" w:val="389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181153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因每張面額超過人民幣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80,000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元之限制者，每張</w:t>
            </w:r>
            <w:r w:rsidR="00F47EC8" w:rsidRPr="00F77E40">
              <w:rPr>
                <w:rFonts w:ascii="Arial" w:eastAsia="標楷體" w:hAnsi="標楷體" w:cs="Arial" w:hint="eastAsia"/>
                <w:sz w:val="14"/>
                <w:szCs w:val="14"/>
              </w:rPr>
              <w:t>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F47EC8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因其他理由者，每張支票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DC35C8" w:rsidRDefault="006E38E0" w:rsidP="006E38E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DC35C8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開戶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6E38E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HKD7,000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變更印鑑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Pr="00AE3575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500</w:t>
            </w:r>
          </w:p>
        </w:tc>
      </w:tr>
      <w:tr w:rsidR="00F77E40" w:rsidRPr="00F77E40" w:rsidTr="003F3149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0634A4" w:rsidRPr="00DC35C8" w:rsidRDefault="000634A4" w:rsidP="000634A4">
            <w:pPr>
              <w:adjustRightInd w:val="0"/>
              <w:snapToGrid w:val="0"/>
              <w:spacing w:line="0" w:lineRule="atLeast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DC35C8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靜止戶</w:t>
            </w:r>
          </w:p>
        </w:tc>
        <w:tc>
          <w:tcPr>
            <w:tcW w:w="947" w:type="dxa"/>
            <w:vMerge w:val="restart"/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恢復往來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0634A4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2,5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00</w:t>
            </w:r>
          </w:p>
        </w:tc>
      </w:tr>
      <w:tr w:rsidR="00F77E40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Merge/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Align w:val="center"/>
          </w:tcPr>
          <w:p w:rsidR="000634A4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634A4" w:rsidRPr="00AE3575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3,500</w:t>
            </w:r>
          </w:p>
        </w:tc>
      </w:tr>
      <w:tr w:rsidR="00F77E40" w:rsidRPr="00F77E40" w:rsidTr="000634A4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帳戶維護費用</w:t>
            </w:r>
          </w:p>
        </w:tc>
        <w:tc>
          <w:tcPr>
            <w:tcW w:w="848" w:type="dxa"/>
            <w:vMerge w:val="restart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維護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費</w:t>
            </w:r>
          </w:p>
        </w:tc>
        <w:tc>
          <w:tcPr>
            <w:tcW w:w="3803" w:type="dxa"/>
            <w:tcBorders>
              <w:bottom w:val="nil"/>
            </w:tcBorders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每半年分別對各幣別帳戶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收取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</w:tc>
      </w:tr>
      <w:tr w:rsidR="00F77E40" w:rsidRPr="00F77E40" w:rsidTr="000634A4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Merge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3803" w:type="dxa"/>
            <w:tcBorders>
              <w:top w:val="nil"/>
            </w:tcBorders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倘餘額不足扣收，則自有餘額之帳號內扣收等值外幣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結清帳戶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開戶後三個月內結清帳戶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開立證明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餘額証明</w:t>
            </w:r>
          </w:p>
        </w:tc>
        <w:tc>
          <w:tcPr>
            <w:tcW w:w="848" w:type="dxa"/>
            <w:vMerge w:val="restart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Merge w:val="restart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銷戶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證明</w:t>
            </w:r>
          </w:p>
        </w:tc>
        <w:tc>
          <w:tcPr>
            <w:tcW w:w="848" w:type="dxa"/>
            <w:vMerge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3803" w:type="dxa"/>
            <w:vMerge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資信証明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A465B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查帳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AE3575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="00AE3575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AE3575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="00AE3575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>
              <w:rPr>
                <w:rFonts w:ascii="Arial" w:eastAsia="標楷體" w:hAnsi="標楷體" w:cs="Arial" w:hint="eastAsia"/>
                <w:sz w:val="14"/>
                <w:szCs w:val="14"/>
              </w:rPr>
              <w:t>若超過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最多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7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550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每多一年加收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其他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商業登記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公司註冊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處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查冊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會計師函証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遺失存摺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9459D2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掛號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/ </w:t>
            </w:r>
          </w:p>
          <w:p w:rsidR="00AE3575" w:rsidRPr="00F77E40" w:rsidRDefault="00AE3575" w:rsidP="009459D2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快遞費</w:t>
            </w:r>
          </w:p>
        </w:tc>
        <w:tc>
          <w:tcPr>
            <w:tcW w:w="947" w:type="dxa"/>
            <w:vAlign w:val="center"/>
          </w:tcPr>
          <w:p w:rsidR="00AE3575" w:rsidRPr="00AE3575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支票簿</w:t>
            </w:r>
          </w:p>
        </w:tc>
        <w:tc>
          <w:tcPr>
            <w:tcW w:w="848" w:type="dxa"/>
            <w:vAlign w:val="center"/>
          </w:tcPr>
          <w:p w:rsidR="00AE3575" w:rsidRPr="00AE3575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郵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AE3575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標準重量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(150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張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)HKD105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947" w:type="dxa"/>
            <w:vMerge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Align w:val="center"/>
          </w:tcPr>
          <w:p w:rsidR="00AE3575" w:rsidRPr="00AE3575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本港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6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，非本港按郵局收費收取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傳真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匯入匯款業務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T/T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入一銀帳戶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轉匯一銀其他聯行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轉匯他行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香港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地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區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轉匯他行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香港以外地區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辦理退匯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查詢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票匯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D/D</w:t>
            </w: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領取港幣現金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匯款金額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X 0.0015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100 )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領取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美金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現金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匯款金額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X 0.0025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匯出匯款業務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T/T</w:t>
            </w:r>
          </w:p>
          <w:p w:rsidR="00AE3575" w:rsidRPr="00F77E40" w:rsidRDefault="00AE3575" w:rsidP="00594DE0">
            <w:pPr>
              <w:adjustRightInd w:val="0"/>
              <w:snapToGrid w:val="0"/>
              <w:spacing w:line="0" w:lineRule="atLeast"/>
              <w:ind w:leftChars="-29" w:left="-70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CHATS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 w:hint="eastAsia"/>
                <w:sz w:val="12"/>
                <w:szCs w:val="12"/>
              </w:rPr>
              <w:t>(</w:t>
            </w:r>
            <w:r w:rsidRPr="00F77E40">
              <w:rPr>
                <w:rFonts w:ascii="Arial" w:eastAsia="標楷體" w:hAnsi="標楷體" w:cs="Arial"/>
                <w:sz w:val="12"/>
                <w:szCs w:val="12"/>
              </w:rPr>
              <w:t>Clearing House Automatic Transfer System</w:t>
            </w:r>
            <w:r w:rsidRPr="00F77E40">
              <w:rPr>
                <w:rFonts w:ascii="Arial" w:eastAsia="標楷體" w:hAnsi="標楷體" w:cs="Arial" w:hint="eastAsia"/>
                <w:sz w:val="12"/>
                <w:szCs w:val="12"/>
              </w:rPr>
              <w:t>)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辦理匯款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HKD100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、不受理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現金辦理匯款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凡以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中文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電碼處理匯款，加收手續費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中轉行及受款行會另收費用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辦理修改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退匯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查詢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額外電報費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加發一通電文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</w:p>
        </w:tc>
      </w:tr>
      <w:tr w:rsidR="00AE3575" w:rsidRPr="00F77E40" w:rsidTr="00181153">
        <w:trPr>
          <w:trHeight w:hRule="exact" w:val="454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代理銀行費用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收費指示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:OUR)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  <w:vertAlign w:val="superscript"/>
              </w:rPr>
              <w:t>#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pacing w:val="20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適用於匯款人承擔匯款所有費用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（原匯款費用另計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本票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Cashier Orde</w:t>
            </w:r>
            <w:r w:rsidRPr="00F77E40">
              <w:rPr>
                <w:rFonts w:ascii="Arial" w:eastAsia="標楷體" w:hAnsi="Arial" w:cs="Arial"/>
                <w:sz w:val="14"/>
                <w:szCs w:val="14"/>
              </w:rPr>
              <w:t>r</w:t>
            </w: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暫停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emand Draft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補發新票</w:t>
            </w:r>
          </w:p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含止付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/>
              <w:jc w:val="both"/>
              <w:rPr>
                <w:rFonts w:ascii="Arial" w:eastAsia="標楷體" w:hAnsi="標楷體" w:cs="Arial"/>
                <w:spacing w:val="20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光票託收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  <w:lang w:eastAsia="zh-HK"/>
              </w:rPr>
              <w:t>(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暫停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  <w:lang w:eastAsia="zh-HK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進口業務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進口開狀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依金額分段計收：（每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6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個月）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進口修狀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增加金額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Arial" w:cs="Arial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展期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依金額分段計收：（每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6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個月）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進口託收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港幣以外幣別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181153">
            <w:pPr>
              <w:adjustRightInd w:val="0"/>
              <w:snapToGrid w:val="0"/>
              <w:spacing w:afterLines="20" w:after="72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無兌換手續費：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HKD230 or USD30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港幣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0F308D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0F308D">
            <w:pPr>
              <w:adjustRightInd w:val="0"/>
              <w:snapToGrid w:val="0"/>
              <w:spacing w:afterLines="10" w:after="36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USD30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贖單</w:t>
            </w:r>
          </w:p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開狀項下</w:t>
            </w: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)</w:t>
            </w: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港幣以外幣別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無兌換時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% 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</w:tr>
      <w:tr w:rsidR="00AE3575" w:rsidRPr="00F77E40" w:rsidTr="00181153">
        <w:trPr>
          <w:trHeight w:hRule="exact" w:val="454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港幣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、約合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%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文件金額超押部份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與開狀收費相同</w:t>
            </w:r>
          </w:p>
        </w:tc>
      </w:tr>
      <w:tr w:rsidR="00AE3575" w:rsidRPr="00F77E40" w:rsidTr="00A405D0">
        <w:trPr>
          <w:trHeight w:hRule="exact" w:val="363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承兌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每一個月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1/16% 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由承兌日至到期日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HKD230 or USD30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擔保提貨及副提單背書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HKD300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審單瑕疵費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USD70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4"/>
              </w:rPr>
            </w:pPr>
            <w:r w:rsidRPr="00F77E40">
              <w:rPr>
                <w:rFonts w:ascii="Arial" w:eastAsia="標楷體" w:hAnsi="Arial" w:cs="Arial" w:hint="eastAsia"/>
                <w:b/>
                <w:sz w:val="16"/>
                <w:szCs w:val="14"/>
              </w:rPr>
              <w:t>出口業務</w:t>
            </w:r>
          </w:p>
        </w:tc>
      </w:tr>
      <w:tr w:rsidR="00AE3575" w:rsidRPr="00F77E40" w:rsidTr="001F00EB">
        <w:trPr>
          <w:trHeight w:hRule="exact" w:val="555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信用狀通知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本行客戶：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250</w:t>
            </w:r>
          </w:p>
          <w:p w:rsidR="00AE3575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非本行客戶：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1F00EB" w:rsidRPr="001F00EB" w:rsidRDefault="001F00EB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1F00E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轉通知銀行：</w:t>
            </w:r>
            <w:r w:rsidRPr="001F00E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HKD500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304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出口押匯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無兌換時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</w:tc>
      </w:tr>
      <w:tr w:rsidR="00AE3575" w:rsidRPr="00F77E40" w:rsidTr="00181153">
        <w:trPr>
          <w:trHeight w:hRule="exact" w:val="45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處理費</w:t>
            </w:r>
          </w:p>
          <w:p w:rsidR="00AE3575" w:rsidRPr="00F77E40" w:rsidRDefault="00AE3575" w:rsidP="00CC4F61">
            <w:pPr>
              <w:adjustRightInd w:val="0"/>
              <w:snapToGrid w:val="0"/>
              <w:spacing w:afterLines="20" w:after="72"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（有兌換時）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MIN HKD300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審單費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瑕疵費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押匯息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2D73F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利息按實際日數計收，最低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天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REGISTERED MAIL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80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(ASIA)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(USA)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(O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THER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COUNTRIES)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1148" w:type="dxa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出口託收</w:t>
            </w:r>
          </w:p>
        </w:tc>
        <w:tc>
          <w:tcPr>
            <w:tcW w:w="18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BBOC/OC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A405D0">
        <w:trPr>
          <w:trHeight w:hRule="exact" w:val="813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REGISTERED MAIL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80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(ASIA)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(USA)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(O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THER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COUNTRIES)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A405D0">
        <w:trPr>
          <w:trHeight w:hRule="exact" w:val="569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（無兌換時）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</w:tc>
      </w:tr>
      <w:tr w:rsidR="00AE3575" w:rsidRPr="00F77E40" w:rsidTr="00912549">
        <w:trPr>
          <w:trHeight w:hRule="exact" w:val="279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AE3575" w:rsidRDefault="00AE3575" w:rsidP="00CC4F61">
            <w:pPr>
              <w:adjustRightInd w:val="0"/>
              <w:snapToGrid w:val="0"/>
              <w:spacing w:line="0" w:lineRule="atLeast"/>
              <w:ind w:leftChars="-120" w:left="-288" w:rightChars="-120" w:right="-288"/>
              <w:jc w:val="center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審單費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AE3575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HKD300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LC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求償手續費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40(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電報費，郵費另計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電報費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30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財富管理業務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基金申購交易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單筆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依投資金額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計收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定期定額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依投資金額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計收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轉換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每筆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20(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或等值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第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e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金網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申請核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換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發動態密碼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「動態密碼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設備遺失」或「終止使用第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金網」後重新申請動態密碼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HKD200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申請「變更第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金網使用者代號」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HKD200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設備解除暫禁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解除鎖碼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重新設定密碼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其他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補發通知書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收據副本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一年內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一至兩年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二至三年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三年以上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最多七年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1F5D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-HKD400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年加收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HKD50)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1F5D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b/>
                <w:sz w:val="16"/>
                <w:szCs w:val="16"/>
              </w:rPr>
              <w:t>授信業務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授信額度承諾費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核准簽約授信額度金額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X0.1%~1% 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於簽約後，額度設立前一次計收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B97009">
        <w:trPr>
          <w:trHeight w:hRule="exact" w:val="621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F77E40">
              <w:rPr>
                <w:rFonts w:ascii="標楷體" w:eastAsia="標楷體" w:hAnsi="標楷體" w:cs="Arial" w:hint="eastAsia"/>
                <w:sz w:val="14"/>
                <w:szCs w:val="14"/>
              </w:rPr>
              <w:t>保證業務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本行簽發保證函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1.5%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以上計收，最低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【保證金額×年率×期間】</w:t>
            </w:r>
          </w:p>
          <w:p w:rsidR="00AE3575" w:rsidRPr="00F77E40" w:rsidRDefault="00AE3575" w:rsidP="00B97009">
            <w:pPr>
              <w:adjustRightInd w:val="0"/>
              <w:snapToGrid w:val="0"/>
              <w:spacing w:afterLines="20" w:after="72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期間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: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以三個月為一期，不足三個月以三個月計</w:t>
            </w:r>
          </w:p>
        </w:tc>
      </w:tr>
      <w:tr w:rsidR="00AE3575" w:rsidRPr="00F77E40" w:rsidTr="00B97009">
        <w:trPr>
          <w:trHeight w:hRule="exact" w:val="559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擔保信用狀開發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E5597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1.5%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以上計收，最低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【保證金額×年率×期間】</w:t>
            </w:r>
          </w:p>
          <w:p w:rsidR="00AE3575" w:rsidRPr="00F77E40" w:rsidRDefault="00AE3575" w:rsidP="00B97009">
            <w:pPr>
              <w:adjustRightInd w:val="0"/>
              <w:snapToGrid w:val="0"/>
              <w:spacing w:afterLines="20" w:after="72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期間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: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以三個月為一期，不足三個月以三個月計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CABLE CHAGS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保證函增加金額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保證函展期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B97009">
        <w:trPr>
          <w:trHeight w:hRule="exact" w:val="429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應收帳款承購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買方徵信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依買方地區不同每個介於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USD40 ~120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【依個別買方於首次申請時計收】</w:t>
            </w:r>
          </w:p>
        </w:tc>
      </w:tr>
      <w:tr w:rsidR="00AE3575" w:rsidRPr="00F77E40" w:rsidTr="00B97009">
        <w:trPr>
          <w:trHeight w:hRule="exact" w:val="420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額度設立費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於應收帳款承購額度設時，依帳款承購商收費標準計收，每一買方介於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USD120~200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管理費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每次承購金額×費率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處理費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每批次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USD20 ~100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開立借款餘額證明書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C92962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變更授信條件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申請調降利率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貸款餘額×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0.1%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C92962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變更其他授信條件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依變更後核准授信額度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X0.05%~0.1%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【於新條件適用前計收】</w:t>
            </w:r>
          </w:p>
        </w:tc>
      </w:tr>
    </w:tbl>
    <w:p w:rsidR="00CE043E" w:rsidRPr="00F77E40" w:rsidRDefault="00CE043E" w:rsidP="00CE043E">
      <w:pPr>
        <w:spacing w:line="160" w:lineRule="exact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注意：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本收費標準簡表內所載之各項收費於付印時均為正確。惟本行有權隨時調整所列之任何收費,本行亦保留權利增加本表所未載列之收費。若本收費表未有列出客戶所需要服務之收費資料,請向本分行職員查詢,如客戶對所列之收費有任何疑問,亦請隨時與本分行聯絡。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存入之交換票據於交易日後第2營業日方可動用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聯行委託香港分行轉開擔保信用狀每筆一律以USD250計收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 xml:space="preserve">* </w:t>
      </w:r>
      <w:r w:rsidRPr="00F77E40">
        <w:rPr>
          <w:rFonts w:ascii="標楷體" w:eastAsia="標楷體" w:hAnsi="標楷體" w:hint="eastAsia"/>
          <w:sz w:val="14"/>
          <w:szCs w:val="14"/>
          <w:u w:val="single"/>
        </w:rPr>
        <w:t>就60歲以上長者、殘障人士及低收入者，倘有需要針對其收費予以減/免時，得另案申請優惠</w:t>
      </w:r>
      <w:r w:rsidRPr="00F77E40">
        <w:rPr>
          <w:rFonts w:ascii="標楷體" w:eastAsia="標楷體" w:hAnsi="標楷體" w:hint="eastAsia"/>
          <w:sz w:val="14"/>
          <w:szCs w:val="14"/>
        </w:rPr>
        <w:t xml:space="preserve">。    </w:t>
      </w:r>
    </w:p>
    <w:p w:rsidR="00CE043E" w:rsidRPr="00F77E40" w:rsidRDefault="00882738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</w:t>
      </w:r>
      <w:r w:rsidR="00CE043E" w:rsidRPr="00F77E40">
        <w:rPr>
          <w:rFonts w:ascii="標楷體" w:eastAsia="標楷體" w:hAnsi="標楷體" w:hint="eastAsia"/>
          <w:sz w:val="14"/>
          <w:szCs w:val="14"/>
        </w:rPr>
        <w:t xml:space="preserve"> 代理銀行費用係指代理銀行、中轉銀行、結算機構及/或收款銀行等銀行/機構處理匯款的費用及本行的額外處理費用的統稱，如選擇代理銀行費用由匯款人承擔，本行有權於辦理匯款時預收代理銀行費用。預收的金額不會退回，但，如實際徵收的費用高於預收的金額，本行有權收回差額。另外，請注意因這種收費選擇涉及較多工作，有關銀行/機構銀行向匯款人的徵費一般比較由收款人承擔高。</w:t>
      </w:r>
    </w:p>
    <w:p w:rsidR="00CE043E" w:rsidRPr="00F77E40" w:rsidRDefault="00E73D03" w:rsidP="00882738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茲通知自</w:t>
      </w:r>
      <w:r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20</w:t>
      </w:r>
      <w:r w:rsidR="002E239C"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21</w:t>
      </w:r>
      <w:r w:rsidRPr="00F77E40">
        <w:rPr>
          <w:rFonts w:ascii="標楷體" w:eastAsia="標楷體" w:hAnsi="標楷體" w:hint="eastAsia"/>
          <w:sz w:val="14"/>
          <w:szCs w:val="14"/>
        </w:rPr>
        <w:t>年</w:t>
      </w:r>
      <w:r w:rsidR="002E239C"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1</w:t>
      </w:r>
      <w:r w:rsidRPr="00F77E40">
        <w:rPr>
          <w:rFonts w:ascii="標楷體" w:eastAsia="標楷體" w:hAnsi="標楷體" w:hint="eastAsia"/>
          <w:sz w:val="14"/>
          <w:szCs w:val="14"/>
        </w:rPr>
        <w:t>月</w:t>
      </w:r>
      <w:r w:rsidR="00A405D0" w:rsidRPr="00A405D0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20</w:t>
      </w:r>
      <w:r w:rsidRPr="00F77E40">
        <w:rPr>
          <w:rFonts w:ascii="標楷體" w:eastAsia="標楷體" w:hAnsi="標楷體" w:hint="eastAsia"/>
          <w:sz w:val="14"/>
          <w:szCs w:val="14"/>
        </w:rPr>
        <w:t>日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起</w:t>
      </w:r>
      <w:r w:rsidRPr="00F77E40">
        <w:rPr>
          <w:rFonts w:ascii="標楷體" w:eastAsia="標楷體" w:hAnsi="標楷體" w:hint="eastAsia"/>
          <w:sz w:val="14"/>
          <w:szCs w:val="14"/>
        </w:rPr>
        <w:t>，本分行將調整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部分</w:t>
      </w:r>
      <w:r w:rsidR="00765D80" w:rsidRPr="00F77E40">
        <w:rPr>
          <w:rFonts w:ascii="標楷體" w:eastAsia="標楷體" w:hAnsi="標楷體" w:hint="eastAsia"/>
          <w:sz w:val="14"/>
          <w:szCs w:val="14"/>
        </w:rPr>
        <w:t>進出口及</w:t>
      </w:r>
      <w:r w:rsidR="00E01A63" w:rsidRPr="00F77E40">
        <w:rPr>
          <w:rFonts w:ascii="標楷體" w:eastAsia="標楷體" w:hAnsi="標楷體" w:hint="eastAsia"/>
          <w:sz w:val="14"/>
          <w:szCs w:val="14"/>
        </w:rPr>
        <w:t>授信業務</w:t>
      </w:r>
      <w:r w:rsidRPr="00F77E40">
        <w:rPr>
          <w:rFonts w:ascii="標楷體" w:eastAsia="標楷體" w:hAnsi="標楷體" w:hint="eastAsia"/>
          <w:sz w:val="14"/>
          <w:szCs w:val="14"/>
        </w:rPr>
        <w:t>收費</w:t>
      </w:r>
      <w:r w:rsidR="00765D80" w:rsidRPr="00F77E40">
        <w:rPr>
          <w:rFonts w:ascii="標楷體" w:eastAsia="標楷體" w:hAnsi="標楷體" w:hint="eastAsia"/>
          <w:sz w:val="14"/>
          <w:szCs w:val="14"/>
        </w:rPr>
        <w:t>標準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(如紅字部分)</w:t>
      </w:r>
      <w:r w:rsidRPr="00F77E40">
        <w:rPr>
          <w:rFonts w:ascii="標楷體" w:eastAsia="標楷體" w:hAnsi="標楷體" w:hint="eastAsia"/>
          <w:sz w:val="14"/>
          <w:szCs w:val="14"/>
        </w:rPr>
        <w:t>，其他服務收費則維持不變。</w:t>
      </w:r>
    </w:p>
    <w:p w:rsidR="00765D80" w:rsidRPr="00F77E40" w:rsidRDefault="00765D80" w:rsidP="00765D80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</w:p>
    <w:p w:rsidR="009A6F33" w:rsidRDefault="009A6F33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</w:p>
    <w:p w:rsidR="009A6F33" w:rsidRDefault="009A6F33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</w:p>
    <w:p w:rsidR="00CE043E" w:rsidRPr="00F77E40" w:rsidRDefault="00CE043E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  <w:r w:rsidRPr="00F77E40">
        <w:rPr>
          <w:rFonts w:ascii="標楷體" w:eastAsia="標楷體" w:hAnsi="標楷體" w:hint="eastAsia"/>
          <w:sz w:val="16"/>
          <w:szCs w:val="16"/>
        </w:rPr>
        <w:t>第一商業銀行香港分行　謹啓</w:t>
      </w:r>
    </w:p>
    <w:p w:rsidR="00604466" w:rsidRPr="00F77E40" w:rsidRDefault="00CE043E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  <w:r w:rsidRPr="00F77E40">
        <w:rPr>
          <w:rFonts w:ascii="標楷體" w:eastAsia="標楷體" w:hAnsi="標楷體" w:hint="eastAsia"/>
          <w:sz w:val="16"/>
          <w:szCs w:val="16"/>
        </w:rPr>
        <w:t>20</w:t>
      </w:r>
      <w:r w:rsidR="002E239C" w:rsidRPr="00F77E40">
        <w:rPr>
          <w:rFonts w:ascii="標楷體" w:eastAsia="標楷體" w:hAnsi="標楷體" w:hint="eastAsia"/>
          <w:sz w:val="16"/>
          <w:szCs w:val="16"/>
        </w:rPr>
        <w:t>20</w:t>
      </w:r>
      <w:r w:rsidRPr="00F77E40">
        <w:rPr>
          <w:rFonts w:ascii="標楷體" w:eastAsia="標楷體" w:hAnsi="標楷體" w:hint="eastAsia"/>
          <w:sz w:val="16"/>
          <w:szCs w:val="16"/>
        </w:rPr>
        <w:t>年</w:t>
      </w:r>
      <w:r w:rsidR="002E239C" w:rsidRPr="00F77E40">
        <w:rPr>
          <w:rFonts w:ascii="標楷體" w:eastAsia="標楷體" w:hAnsi="標楷體" w:hint="eastAsia"/>
          <w:sz w:val="16"/>
          <w:szCs w:val="16"/>
        </w:rPr>
        <w:t>12</w:t>
      </w:r>
      <w:r w:rsidRPr="00F77E40">
        <w:rPr>
          <w:rFonts w:ascii="標楷體" w:eastAsia="標楷體" w:hAnsi="標楷體" w:hint="eastAsia"/>
          <w:sz w:val="16"/>
          <w:szCs w:val="16"/>
        </w:rPr>
        <w:t>月</w:t>
      </w:r>
      <w:r w:rsidR="00A405D0">
        <w:rPr>
          <w:rFonts w:ascii="標楷體" w:eastAsia="標楷體" w:hAnsi="標楷體" w:hint="eastAsia"/>
          <w:sz w:val="16"/>
          <w:szCs w:val="16"/>
        </w:rPr>
        <w:t>18</w:t>
      </w:r>
      <w:r w:rsidRPr="00F77E40">
        <w:rPr>
          <w:rFonts w:ascii="標楷體" w:eastAsia="標楷體" w:hAnsi="標楷體" w:hint="eastAsia"/>
          <w:sz w:val="16"/>
          <w:szCs w:val="16"/>
        </w:rPr>
        <w:t>日</w:t>
      </w:r>
    </w:p>
    <w:sectPr w:rsidR="00604466" w:rsidRPr="00F77E40" w:rsidSect="00DB6A36">
      <w:headerReference w:type="default" r:id="rId8"/>
      <w:footerReference w:type="default" r:id="rId9"/>
      <w:pgSz w:w="16838" w:h="11906" w:orient="landscape" w:code="9"/>
      <w:pgMar w:top="737" w:right="567" w:bottom="340" w:left="567" w:header="284" w:footer="113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49" w:rsidRDefault="003F3149" w:rsidP="0045233C">
      <w:r>
        <w:separator/>
      </w:r>
    </w:p>
  </w:endnote>
  <w:endnote w:type="continuationSeparator" w:id="0">
    <w:p w:rsidR="003F3149" w:rsidRDefault="003F3149" w:rsidP="0045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321220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:rsidR="003F3149" w:rsidRPr="00DB6A36" w:rsidRDefault="003F3149" w:rsidP="001A0C3D">
        <w:pPr>
          <w:pStyle w:val="a6"/>
          <w:jc w:val="right"/>
          <w:rPr>
            <w:sz w:val="14"/>
            <w:szCs w:val="14"/>
          </w:rPr>
        </w:pPr>
        <w:r w:rsidRPr="00DB6A36">
          <w:rPr>
            <w:sz w:val="14"/>
            <w:szCs w:val="14"/>
          </w:rPr>
          <w:fldChar w:fldCharType="begin"/>
        </w:r>
        <w:r w:rsidRPr="00DB6A36">
          <w:rPr>
            <w:sz w:val="14"/>
            <w:szCs w:val="14"/>
          </w:rPr>
          <w:instrText>PAGE   \* MERGEFORMAT</w:instrText>
        </w:r>
        <w:r w:rsidRPr="00DB6A36">
          <w:rPr>
            <w:sz w:val="14"/>
            <w:szCs w:val="14"/>
          </w:rPr>
          <w:fldChar w:fldCharType="separate"/>
        </w:r>
        <w:r w:rsidR="00CC1BC4" w:rsidRPr="00CC1BC4">
          <w:rPr>
            <w:noProof/>
            <w:sz w:val="14"/>
            <w:szCs w:val="14"/>
            <w:lang w:val="zh-TW"/>
          </w:rPr>
          <w:t>1</w:t>
        </w:r>
        <w:r w:rsidRPr="00DB6A36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49" w:rsidRDefault="003F3149" w:rsidP="0045233C">
      <w:r>
        <w:separator/>
      </w:r>
    </w:p>
  </w:footnote>
  <w:footnote w:type="continuationSeparator" w:id="0">
    <w:p w:rsidR="003F3149" w:rsidRDefault="003F3149" w:rsidP="0045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49" w:rsidRDefault="0008797F" w:rsidP="009A6F33">
    <w:pPr>
      <w:pStyle w:val="a4"/>
      <w:tabs>
        <w:tab w:val="left" w:pos="4650"/>
        <w:tab w:val="right" w:pos="15704"/>
      </w:tabs>
      <w:jc w:val="right"/>
    </w:pPr>
    <w:r>
      <w:rPr>
        <w:rFonts w:ascii="Arial" w:eastAsia="標楷體" w:hAnsi="Arial" w:cs="Arial" w:hint="eastAsia"/>
        <w:noProof/>
        <w:color w:val="000000"/>
      </w:rPr>
      <w:drawing>
        <wp:anchor distT="0" distB="0" distL="114300" distR="114300" simplePos="0" relativeHeight="251658240" behindDoc="0" locked="0" layoutInCell="1" allowOverlap="1" wp14:anchorId="753BFDA0" wp14:editId="197DE61A">
          <wp:simplePos x="0" y="0"/>
          <wp:positionH relativeFrom="column">
            <wp:posOffset>90805</wp:posOffset>
          </wp:positionH>
          <wp:positionV relativeFrom="paragraph">
            <wp:posOffset>-15240</wp:posOffset>
          </wp:positionV>
          <wp:extent cx="285750" cy="285750"/>
          <wp:effectExtent l="0" t="0" r="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標楷體" w:hAnsi="Arial" w:cs="Arial" w:hint="eastAsia"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A7E2E3" wp14:editId="7CB7E32C">
              <wp:simplePos x="0" y="0"/>
              <wp:positionH relativeFrom="column">
                <wp:posOffset>376555</wp:posOffset>
              </wp:positionH>
              <wp:positionV relativeFrom="paragraph">
                <wp:posOffset>-66040</wp:posOffset>
              </wp:positionV>
              <wp:extent cx="1847850" cy="361950"/>
              <wp:effectExtent l="0" t="0" r="19050" b="19050"/>
              <wp:wrapNone/>
              <wp:docPr id="3" name="文字方塊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A6F33" w:rsidRPr="00055AAA" w:rsidRDefault="009A6F33" w:rsidP="00055AAA">
                          <w:pPr>
                            <w:spacing w:line="200" w:lineRule="exact"/>
                            <w:rPr>
                              <w:rFonts w:eastAsia="標楷體"/>
                              <w:sz w:val="14"/>
                              <w:szCs w:val="14"/>
                            </w:rPr>
                          </w:pPr>
                          <w:r w:rsidRPr="00055AAA">
                            <w:rPr>
                              <w:rFonts w:eastAsia="標楷體"/>
                              <w:sz w:val="14"/>
                              <w:szCs w:val="14"/>
                            </w:rPr>
                            <w:t>First Commercial Bank, Ltd. HK Br.</w:t>
                          </w:r>
                        </w:p>
                        <w:p w:rsidR="009A6F33" w:rsidRPr="00055AAA" w:rsidRDefault="009A6F33" w:rsidP="00055AAA">
                          <w:pPr>
                            <w:spacing w:line="200" w:lineRule="exact"/>
                            <w:rPr>
                              <w:rFonts w:eastAsia="標楷體"/>
                              <w:color w:val="000000"/>
                              <w:sz w:val="14"/>
                              <w:szCs w:val="14"/>
                            </w:rPr>
                          </w:pPr>
                          <w:r w:rsidRPr="00055AAA">
                            <w:rPr>
                              <w:rFonts w:eastAsia="標楷體"/>
                              <w:sz w:val="14"/>
                              <w:szCs w:val="14"/>
                            </w:rPr>
                            <w:t>(Incorporated in Taiwan with limited liability)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29.65pt;margin-top:-5.2pt;width:145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" strokecolor="white">
              <v:textbox>
                <w:txbxContent>
                  <w:p w:rsidR="009A6F33" w:rsidRPr="00055AAA" w:rsidRDefault="009A6F33" w:rsidP="00055AAA">
                    <w:pPr>
                      <w:spacing w:line="200" w:lineRule="exact"/>
                      <w:rPr>
                        <w:rFonts w:eastAsia="標楷體"/>
                        <w:sz w:val="14"/>
                        <w:szCs w:val="14"/>
                      </w:rPr>
                    </w:pPr>
                    <w:r w:rsidRPr="00055AAA">
                      <w:rPr>
                        <w:rFonts w:eastAsia="標楷體"/>
                        <w:sz w:val="14"/>
                        <w:szCs w:val="14"/>
                      </w:rPr>
                      <w:t>First Commercial Bank, Ltd. HK Br.</w:t>
                    </w:r>
                  </w:p>
                  <w:p w:rsidR="009A6F33" w:rsidRPr="00055AAA" w:rsidRDefault="009A6F33" w:rsidP="00055AAA">
                    <w:pPr>
                      <w:spacing w:line="200" w:lineRule="exact"/>
                      <w:rPr>
                        <w:rFonts w:eastAsia="標楷體"/>
                        <w:color w:val="000000"/>
                        <w:sz w:val="14"/>
                        <w:szCs w:val="14"/>
                      </w:rPr>
                    </w:pPr>
                    <w:r w:rsidRPr="00055AAA">
                      <w:rPr>
                        <w:rFonts w:eastAsia="標楷體"/>
                        <w:sz w:val="14"/>
                        <w:szCs w:val="14"/>
                      </w:rPr>
                      <w:t>(Incorporated in Taiwan with limited liability)</w:t>
                    </w:r>
                  </w:p>
                </w:txbxContent>
              </v:textbox>
            </v:shape>
          </w:pict>
        </mc:Fallback>
      </mc:AlternateContent>
    </w:r>
    <w:r w:rsidR="009A6F33">
      <w:rPr>
        <w:rFonts w:ascii="Arial" w:eastAsia="標楷體" w:hAnsi="Arial" w:cs="Arial"/>
        <w:color w:val="000000"/>
      </w:rPr>
      <w:tab/>
    </w:r>
    <w:r w:rsidR="009A6F33">
      <w:rPr>
        <w:rFonts w:ascii="Arial" w:eastAsia="標楷體" w:hAnsi="Arial" w:cs="Arial"/>
        <w:color w:val="000000"/>
      </w:rPr>
      <w:tab/>
    </w:r>
    <w:r w:rsidR="009A6F33">
      <w:rPr>
        <w:rFonts w:ascii="Arial" w:eastAsia="標楷體" w:hAnsi="Arial" w:cs="Arial"/>
        <w:color w:val="000000"/>
      </w:rPr>
      <w:tab/>
    </w:r>
    <w:r w:rsidR="003F3149" w:rsidRPr="0001551C">
      <w:rPr>
        <w:rFonts w:ascii="Arial" w:eastAsia="標楷體" w:hAnsi="Arial" w:cs="Arial" w:hint="eastAsia"/>
        <w:color w:val="000000"/>
      </w:rPr>
      <w:t>香港分行各項業務收費標準簡表</w:t>
    </w:r>
    <w:r w:rsidR="003F3149">
      <w:rPr>
        <w:rFonts w:ascii="Arial" w:eastAsia="標楷體" w:hAnsi="Arial" w:cs="Arial" w:hint="eastAsia"/>
        <w:color w:val="000000"/>
      </w:rPr>
      <w:t xml:space="preserve">　　　　　　　　　　　　　　　　　　　　　　　　　　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20</w:t>
    </w:r>
    <w:r w:rsidR="003F3149">
      <w:rPr>
        <w:rFonts w:ascii="Arial" w:eastAsia="標楷體" w:hAnsi="Arial" w:cs="Arial" w:hint="eastAsia"/>
        <w:color w:val="000000"/>
        <w:sz w:val="16"/>
        <w:szCs w:val="16"/>
      </w:rPr>
      <w:t>2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1.</w:t>
    </w:r>
    <w:r w:rsidR="003F3149">
      <w:rPr>
        <w:rFonts w:ascii="Arial" w:eastAsia="標楷體" w:hAnsi="Arial" w:cs="Arial" w:hint="eastAsia"/>
        <w:color w:val="000000"/>
        <w:sz w:val="16"/>
        <w:szCs w:val="16"/>
      </w:rPr>
      <w:t>1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.</w:t>
    </w:r>
    <w:r w:rsidR="003D7A80">
      <w:rPr>
        <w:rFonts w:ascii="Arial" w:eastAsia="標楷體" w:hAnsi="Arial" w:cs="Arial" w:hint="eastAsia"/>
        <w:color w:val="000000"/>
        <w:sz w:val="16"/>
        <w:szCs w:val="16"/>
      </w:rPr>
      <w:t>20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適用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66"/>
    <w:rsid w:val="0001551C"/>
    <w:rsid w:val="00055AAA"/>
    <w:rsid w:val="000634A4"/>
    <w:rsid w:val="0008797F"/>
    <w:rsid w:val="000C72E4"/>
    <w:rsid w:val="000F308D"/>
    <w:rsid w:val="000F5CDA"/>
    <w:rsid w:val="00106DA0"/>
    <w:rsid w:val="00113C9A"/>
    <w:rsid w:val="001140D2"/>
    <w:rsid w:val="00131484"/>
    <w:rsid w:val="0017371A"/>
    <w:rsid w:val="00181153"/>
    <w:rsid w:val="001A0A36"/>
    <w:rsid w:val="001A0C3D"/>
    <w:rsid w:val="001C440B"/>
    <w:rsid w:val="001F00DE"/>
    <w:rsid w:val="001F00EB"/>
    <w:rsid w:val="001F5D49"/>
    <w:rsid w:val="002128CF"/>
    <w:rsid w:val="00237205"/>
    <w:rsid w:val="002C362C"/>
    <w:rsid w:val="002D3573"/>
    <w:rsid w:val="002D73FD"/>
    <w:rsid w:val="002E239C"/>
    <w:rsid w:val="0033746D"/>
    <w:rsid w:val="00367F6D"/>
    <w:rsid w:val="003A62FF"/>
    <w:rsid w:val="003B10DE"/>
    <w:rsid w:val="003B6BBC"/>
    <w:rsid w:val="003D76D3"/>
    <w:rsid w:val="003D7A80"/>
    <w:rsid w:val="003E5597"/>
    <w:rsid w:val="003F3149"/>
    <w:rsid w:val="00412110"/>
    <w:rsid w:val="0045233C"/>
    <w:rsid w:val="00452F1F"/>
    <w:rsid w:val="0045784C"/>
    <w:rsid w:val="004739C7"/>
    <w:rsid w:val="00476AA4"/>
    <w:rsid w:val="004B7197"/>
    <w:rsid w:val="004C785B"/>
    <w:rsid w:val="004D6F44"/>
    <w:rsid w:val="004E0740"/>
    <w:rsid w:val="00501996"/>
    <w:rsid w:val="00503592"/>
    <w:rsid w:val="00531056"/>
    <w:rsid w:val="0054356F"/>
    <w:rsid w:val="0056334A"/>
    <w:rsid w:val="00594DE0"/>
    <w:rsid w:val="00596778"/>
    <w:rsid w:val="00604466"/>
    <w:rsid w:val="00613A18"/>
    <w:rsid w:val="006226DC"/>
    <w:rsid w:val="006C4E6F"/>
    <w:rsid w:val="006D22F2"/>
    <w:rsid w:val="006D71DA"/>
    <w:rsid w:val="006E38E0"/>
    <w:rsid w:val="006F6C9F"/>
    <w:rsid w:val="00735B1B"/>
    <w:rsid w:val="00747543"/>
    <w:rsid w:val="00765D80"/>
    <w:rsid w:val="00773D09"/>
    <w:rsid w:val="007B2B53"/>
    <w:rsid w:val="007C43BA"/>
    <w:rsid w:val="007C4F05"/>
    <w:rsid w:val="007F393C"/>
    <w:rsid w:val="00833F54"/>
    <w:rsid w:val="00882738"/>
    <w:rsid w:val="008A35A6"/>
    <w:rsid w:val="008D4B2F"/>
    <w:rsid w:val="008D5B2A"/>
    <w:rsid w:val="00912549"/>
    <w:rsid w:val="009459D2"/>
    <w:rsid w:val="00952E29"/>
    <w:rsid w:val="009638E2"/>
    <w:rsid w:val="009812DF"/>
    <w:rsid w:val="009872A7"/>
    <w:rsid w:val="009A6F33"/>
    <w:rsid w:val="009B2EC3"/>
    <w:rsid w:val="009C3460"/>
    <w:rsid w:val="009D5F9D"/>
    <w:rsid w:val="009E6BD0"/>
    <w:rsid w:val="00A32838"/>
    <w:rsid w:val="00A34463"/>
    <w:rsid w:val="00A405D0"/>
    <w:rsid w:val="00A465B4"/>
    <w:rsid w:val="00A50496"/>
    <w:rsid w:val="00A57CC5"/>
    <w:rsid w:val="00A614A3"/>
    <w:rsid w:val="00A80501"/>
    <w:rsid w:val="00A96FFA"/>
    <w:rsid w:val="00AA1B12"/>
    <w:rsid w:val="00AB0D33"/>
    <w:rsid w:val="00AE3575"/>
    <w:rsid w:val="00AF7E35"/>
    <w:rsid w:val="00B0194F"/>
    <w:rsid w:val="00B411C7"/>
    <w:rsid w:val="00B51681"/>
    <w:rsid w:val="00B71416"/>
    <w:rsid w:val="00B96BBF"/>
    <w:rsid w:val="00B97009"/>
    <w:rsid w:val="00BA2BA4"/>
    <w:rsid w:val="00BD3705"/>
    <w:rsid w:val="00C22F8F"/>
    <w:rsid w:val="00C75CFE"/>
    <w:rsid w:val="00C92962"/>
    <w:rsid w:val="00C95752"/>
    <w:rsid w:val="00C96F3E"/>
    <w:rsid w:val="00CC1BC4"/>
    <w:rsid w:val="00CC4F61"/>
    <w:rsid w:val="00CD1087"/>
    <w:rsid w:val="00CE043E"/>
    <w:rsid w:val="00CF6CF8"/>
    <w:rsid w:val="00D51575"/>
    <w:rsid w:val="00D576DD"/>
    <w:rsid w:val="00D97CF8"/>
    <w:rsid w:val="00DA1A44"/>
    <w:rsid w:val="00DB6A36"/>
    <w:rsid w:val="00DC35C8"/>
    <w:rsid w:val="00DC6640"/>
    <w:rsid w:val="00DD1EEE"/>
    <w:rsid w:val="00E01A63"/>
    <w:rsid w:val="00E40B57"/>
    <w:rsid w:val="00E53E88"/>
    <w:rsid w:val="00E63E1D"/>
    <w:rsid w:val="00E73D03"/>
    <w:rsid w:val="00EB51F5"/>
    <w:rsid w:val="00EC12A3"/>
    <w:rsid w:val="00F01120"/>
    <w:rsid w:val="00F11755"/>
    <w:rsid w:val="00F217CE"/>
    <w:rsid w:val="00F47EC8"/>
    <w:rsid w:val="00F55DA9"/>
    <w:rsid w:val="00F77E40"/>
    <w:rsid w:val="00F812C9"/>
    <w:rsid w:val="00F90A59"/>
    <w:rsid w:val="00F917D7"/>
    <w:rsid w:val="00FA012F"/>
    <w:rsid w:val="00FF1D87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04466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72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72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73D0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04466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72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72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73D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1394-162C-4CF5-A535-690FE0B8A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董育名(i11239)</cp:lastModifiedBy>
  <cp:revision>2</cp:revision>
  <cp:lastPrinted>2020-12-11T07:00:00Z</cp:lastPrinted>
  <dcterms:created xsi:type="dcterms:W3CDTF">2020-12-15T05:28:00Z</dcterms:created>
  <dcterms:modified xsi:type="dcterms:W3CDTF">2020-12-15T05:28:00Z</dcterms:modified>
</cp:coreProperties>
</file>